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33" w:rsidRPr="00CC7633" w:rsidRDefault="00CC7633" w:rsidP="00CC7633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Приложение</w:t>
      </w:r>
    </w:p>
    <w:p w:rsidR="00CC7633" w:rsidRPr="00CC7633" w:rsidRDefault="00CC7633" w:rsidP="00CC7633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к письму </w:t>
      </w:r>
      <w:proofErr w:type="spellStart"/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департмента</w:t>
      </w:r>
      <w:proofErr w:type="spellEnd"/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образования</w:t>
      </w:r>
    </w:p>
    <w:p w:rsidR="00CC7633" w:rsidRPr="00CC7633" w:rsidRDefault="00CC7633" w:rsidP="00CC7633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Ярославской области</w:t>
      </w:r>
    </w:p>
    <w:p w:rsidR="00CC7633" w:rsidRPr="00CC7633" w:rsidRDefault="00CC7633" w:rsidP="00CC7633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От 24.09.2015 №ИХ.24-3348/15</w:t>
      </w:r>
    </w:p>
    <w:p w:rsidR="00CC7633" w:rsidRPr="00CC7633" w:rsidRDefault="00CC7633" w:rsidP="00CC7633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C7633" w:rsidRPr="00CC7633" w:rsidRDefault="00CC7633" w:rsidP="00CC763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</w:t>
      </w:r>
    </w:p>
    <w:p w:rsidR="00CC7633" w:rsidRPr="00CC7633" w:rsidRDefault="00CC7633" w:rsidP="00CC763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определению недостатков в содержании улично-дорожной сети в районе расположения образовательных организаций</w:t>
      </w:r>
    </w:p>
    <w:p w:rsidR="00CC7633" w:rsidRPr="00CC7633" w:rsidRDefault="00CC7633" w:rsidP="00CC7633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C7633" w:rsidRPr="00CC7633" w:rsidRDefault="00CC7633" w:rsidP="00CC763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Повреждения покрытия проезжей части</w:t>
      </w:r>
    </w:p>
    <w:p w:rsidR="00CC7633" w:rsidRPr="00CC7633" w:rsidRDefault="00CC7633" w:rsidP="00CC763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Покрытие проезжей части не должно иметь просадок, выбоин, иных повреждений, затрудняющих движение транспортных сре</w:t>
      </w:r>
      <w:proofErr w:type="gramStart"/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дств с р</w:t>
      </w:r>
      <w:proofErr w:type="gramEnd"/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азрешенной Правилами дорожного движения скоростью. Предельные размеры отдельных просадок, выбоин и т.п. не должны превышать по длине – 15 см, ширине – 60 см и глубине – 5 см.</w:t>
      </w:r>
    </w:p>
    <w:p w:rsidR="00CC7633" w:rsidRPr="00CC7633" w:rsidRDefault="00CC7633" w:rsidP="00CC76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Недостатки в содержании технических средств организации дорожного движения</w:t>
      </w:r>
    </w:p>
    <w:p w:rsidR="00CC7633" w:rsidRPr="00CC7633" w:rsidRDefault="00CC7633" w:rsidP="00CC763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Отсутствуют (повреждены) дорожные знаки</w:t>
      </w:r>
    </w:p>
    <w:tbl>
      <w:tblPr>
        <w:tblW w:w="143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3"/>
        <w:gridCol w:w="11243"/>
      </w:tblGrid>
      <w:tr w:rsidR="00CC7633" w:rsidRPr="00CC7633" w:rsidTr="00CC7633"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09675" cy="1047750"/>
                  <wp:effectExtent l="19050" t="0" r="9525" b="0"/>
                  <wp:docPr id="1" name="Рисунок 1" descr="http://school42.edu.yar.ru/2017_2018_uchebniy_god/peshehodniy_perehod_w127_h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2.edu.yar.ru/2017_2018_uchebniy_god/peshehodniy_perehod_w127_h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1.22</w:t>
            </w:r>
          </w:p>
        </w:tc>
        <w:tc>
          <w:tcPr>
            <w:tcW w:w="1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Знак 1.22 «Пешеходный переход» устанавливают вне населенных пунктов перед всеми нерегулируемыми наземными пешеходными переходами на расстоянии 150-</w:t>
            </w: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300 м, а в населенных пунктах на расстоянии 50-100 м— </w:t>
            </w:r>
            <w:proofErr w:type="gramStart"/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</w:t>
            </w:r>
            <w:proofErr w:type="gramEnd"/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ред переходами, расстояние видимости которых менее 150 м.</w:t>
            </w:r>
          </w:p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7633" w:rsidRPr="00CC7633" w:rsidTr="00CC7633">
        <w:trPr>
          <w:trHeight w:val="159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5875" cy="1114425"/>
                  <wp:effectExtent l="19050" t="0" r="9525" b="0"/>
                  <wp:docPr id="2" name="Рисунок 2" descr="http://school42.edu.yar.ru/2017_2018_uchebniy_god/znak_deti_w135_h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42.edu.yar.ru/2017_2018_uchebniy_god/znak_deti_w135_h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1.23</w:t>
            </w:r>
          </w:p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42950" cy="371475"/>
                  <wp:effectExtent l="19050" t="0" r="0" b="0"/>
                  <wp:docPr id="3" name="Рисунок 3" descr="http://school42.edu.yar.ru/2017_2018_uchebniy_god/100_metrov_w78_h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42.edu.yar.ru/2017_2018_uchebniy_god/100_metrov_w78_h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8.2.1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Знак 1.23 «Дети» устанавливают перед участками дорог, проходящими вдоль территорий детских учреждений или часто пересекаемыми детьми независимо от наличия пешеходных переходов.</w:t>
            </w:r>
          </w:p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Повторный знак устанавливают с табличкой 8.2.1 «Зона действия», на которой указывают протяженность участка дороги, проходящего вдоль территории детского учреждения или часто пересекаемого детьми.</w:t>
            </w:r>
          </w:p>
        </w:tc>
      </w:tr>
      <w:tr w:rsidR="00CC7633" w:rsidRPr="00CC7633" w:rsidTr="00CC7633">
        <w:trPr>
          <w:trHeight w:val="82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000125" cy="1019175"/>
                  <wp:effectExtent l="19050" t="0" r="9525" b="0"/>
                  <wp:docPr id="4" name="Рисунок 4" descr="http://school42.edu.yar.ru/2017_2018_uchebniy_god/perehod_siniy_vlevo_w105_h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42.edu.yar.ru/2017_2018_uchebniy_god/perehod_siniy_vlevo_w105_h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7633">
              <w:rPr>
                <w:rFonts w:ascii="Verdana" w:eastAsia="Times New Roman" w:hAnsi="Verdana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5.19.1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19175" cy="1019175"/>
                  <wp:effectExtent l="19050" t="0" r="9525" b="0"/>
                  <wp:docPr id="5" name="Рисунок 5" descr="http://school42.edu.yar.ru/2017_2018_uchebniy_god/perehod_siniy_vpravo_w107_h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42.edu.yar.ru/2017_2018_uchebniy_god/perehod_siniy_vpravo_w107_h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              5.19.2</w:t>
            </w:r>
          </w:p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C7633" w:rsidRPr="00CC7633" w:rsidRDefault="00CC7633" w:rsidP="00CC7633">
            <w:pPr>
              <w:spacing w:after="0" w:line="8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Знаки на пешеходном переходе устанавливают на расстоянии не более</w:t>
            </w: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Ширина пешеходного перехода, заключенного между знаками, должна составлять от 4 до 6 м.</w:t>
            </w: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Знаки 5.19.1 и 5.19.2 «Пешеходный переход» применяют для обозначения мест, выделенных для перехода пешеходов через дорогу. Знак 5.19.1 устанавливают справа от дороги, знак 5.19.2 — слева. На дорогах с разделительной полосой (полосами) знаки 5.19.1 и 5.19.2 устанавливают на разделительной полосе соответственно справа или слева от каждой проезжей части.1 м от границы перехода.</w:t>
            </w:r>
          </w:p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C7633" w:rsidRPr="00CC7633" w:rsidRDefault="00CC7633" w:rsidP="00CC7633">
            <w:pPr>
              <w:spacing w:after="0" w:line="8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C7633" w:rsidRPr="00CC7633" w:rsidTr="00CC7633">
        <w:tc>
          <w:tcPr>
            <w:tcW w:w="14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Общие требования к установке дорожных знаков: высота установки дорожных знаков в населенном пункте при их размещении сбоку от проезжей части должна составлять от 2 до 4 м. Вне населенного пункта от 1.5 до 3м. Расстояние от края проезжей части (при отсутствии обочин) до ближайшего края дорожного знака составляет от 0.5 до 2 м. При наличии обочин указанное расстояние отступают от бровки земляного полотна дороги. Видимость дорожного знака должна быть не менее 100 м.</w:t>
            </w:r>
          </w:p>
        </w:tc>
      </w:tr>
    </w:tbl>
    <w:p w:rsidR="00CC7633" w:rsidRPr="00CC7633" w:rsidRDefault="00CC7633" w:rsidP="00CC7633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C7633" w:rsidRPr="00CC7633" w:rsidRDefault="00CC7633" w:rsidP="00CC763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Отсутствует дорожная разметка 1.14.1 «Зебра»</w:t>
      </w:r>
    </w:p>
    <w:tbl>
      <w:tblPr>
        <w:tblW w:w="143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0"/>
        <w:gridCol w:w="11186"/>
      </w:tblGrid>
      <w:tr w:rsidR="00CC7633" w:rsidRPr="00CC7633" w:rsidTr="00CC7633">
        <w:trPr>
          <w:trHeight w:val="1700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952625" cy="781050"/>
                  <wp:effectExtent l="19050" t="0" r="9525" b="0"/>
                  <wp:docPr id="6" name="Рисунок 6" descr="http://school42.edu.yar.ru/2017_2018_uchebniy_god/zebra_w205_h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42.edu.yar.ru/2017_2018_uchebniy_god/zebra_w205_h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1.14.1(Зебра)</w:t>
            </w:r>
          </w:p>
        </w:tc>
        <w:tc>
          <w:tcPr>
            <w:tcW w:w="1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Дорожную разметку 1.14.1, 1.14.2 «Зебра» применяют для обозначения мест, выделенных для пересечения проезжей части пешеходами. Ширина пешеходного </w:t>
            </w:r>
            <w:proofErr w:type="spellStart"/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прехода</w:t>
            </w:r>
            <w:proofErr w:type="spellEnd"/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должна составлять не менее 4 м.</w:t>
            </w: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Разметку 1.14.1 применяют на пешеходных переходах, ширина которых не превышает 6 м. При ширине пешеходного перехода более 6 м применяют разметку 1.14.2. Линии разметки 1.14.1 и 1.14.2 наносят параллельно оси проезжей части.</w:t>
            </w:r>
          </w:p>
        </w:tc>
      </w:tr>
    </w:tbl>
    <w:p w:rsidR="00CC7633" w:rsidRPr="00CC7633" w:rsidRDefault="00CC7633" w:rsidP="00CC763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Дорожная разметка должна быть восстановлена, если в процессе эксплуатации износ по площади составляет более 50% при выполнении ее краской и более 25% – термопластичными массами.</w:t>
      </w:r>
    </w:p>
    <w:p w:rsidR="00CC7633" w:rsidRPr="00CC7633" w:rsidRDefault="00CC7633" w:rsidP="00CC763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Повреждения светофоров</w:t>
      </w:r>
    </w:p>
    <w:p w:rsidR="00CC7633" w:rsidRPr="00CC7633" w:rsidRDefault="00CC7633" w:rsidP="00CC763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Отдельные детали светофора либо элементы его крепления не должны иметь видимых повреждений и разрушений.</w:t>
      </w:r>
    </w:p>
    <w:p w:rsidR="00CC7633" w:rsidRPr="00CC7633" w:rsidRDefault="00CC7633" w:rsidP="00CC763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Рассеиватель</w:t>
      </w:r>
      <w:proofErr w:type="spellEnd"/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не должен иметь трещин и сколов. Символы, наносимые на </w:t>
      </w:r>
      <w:proofErr w:type="spellStart"/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рассеиватели</w:t>
      </w:r>
      <w:proofErr w:type="spellEnd"/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, должны распознаваться с расстояния не менее 50 м. Отражатель не должен иметь разрушений и коррозии, вызывающих появление зон пониженной яркости, различимых с расстояния 50 м.</w:t>
      </w:r>
    </w:p>
    <w:tbl>
      <w:tblPr>
        <w:tblW w:w="143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1"/>
        <w:gridCol w:w="12015"/>
      </w:tblGrid>
      <w:tr w:rsidR="00CC7633" w:rsidRPr="00CC7633" w:rsidTr="00CC7633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1975" cy="1104900"/>
                  <wp:effectExtent l="19050" t="0" r="9525" b="0"/>
                  <wp:docPr id="7" name="Рисунок 7" descr="http://school42.edu.yar.ru/2017_2018_uchebniy_god/svetofor_krugliy_w59_h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42.edu.yar.ru/2017_2018_uchebniy_god/svetofor_krugliy_w59_h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1025" cy="1104900"/>
                  <wp:effectExtent l="19050" t="0" r="9525" b="0"/>
                  <wp:docPr id="8" name="Рисунок 8" descr="http://school42.edu.yar.ru/2017_2018_uchebniy_god/svetofor_kvadratniy_w61_h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42.edu.yar.ru/2017_2018_uchebniy_god/svetofor_kvadratniy_w61_h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П.1         П.2  </w:t>
            </w:r>
          </w:p>
        </w:tc>
        <w:tc>
          <w:tcPr>
            <w:tcW w:w="1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Светофоры П.1 (П.2) применяют для регулирования движения пешеходов через дорогу на регулируемых перекрестках и пешеходных переходах вне перекрестков.</w:t>
            </w: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Расстояние от пешеходного светофора до границы пешеходного перехода не должно превышать 1 м.</w:t>
            </w:r>
          </w:p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Высота установки светофоров от 2 до 2.5 м.</w:t>
            </w:r>
          </w:p>
        </w:tc>
      </w:tr>
    </w:tbl>
    <w:p w:rsidR="00CC7633" w:rsidRPr="00CC7633" w:rsidRDefault="00CC7633" w:rsidP="00CC76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Отсутствуют (повреждены) пешеходные ограждения</w:t>
      </w:r>
    </w:p>
    <w:tbl>
      <w:tblPr>
        <w:tblW w:w="143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9"/>
        <w:gridCol w:w="12177"/>
      </w:tblGrid>
      <w:tr w:rsidR="00CC7633" w:rsidRPr="00CC7633" w:rsidTr="00CC7633"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76350" cy="752475"/>
                  <wp:effectExtent l="19050" t="0" r="0" b="0"/>
                  <wp:docPr id="9" name="Рисунок 9" descr="http://school42.edu.yar.ru/2017_2018_uchebniy_god/ograzhdenie_w134_h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ool42.edu.yar.ru/2017_2018_uchebniy_god/ograzhdenie_w134_h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ind w:left="34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Пешеходные ограждения перильного типа устанавливают у наземных пешеходных переходов со светофорным регулированием с двух сторон дороги, на протяжении не менее 50 м в каждую сторону от пешеходного перехода, а также у наземных пешеходных переходов, расположенных на участках дорог или улиц, проходящих вдоль детских учреждений, с обеих сторон дороги или улицы на протяжении не менее 50 м в каждую сторону от</w:t>
            </w:r>
            <w:proofErr w:type="gramEnd"/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нерегулируемого пешеходного перехода.</w:t>
            </w:r>
          </w:p>
        </w:tc>
      </w:tr>
    </w:tbl>
    <w:p w:rsidR="00CC7633" w:rsidRPr="00CC7633" w:rsidRDefault="00CC7633" w:rsidP="00CC7633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C7633" w:rsidRPr="00CC7633" w:rsidRDefault="00CC7633" w:rsidP="00CC76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Повреждены искусственные неровности</w:t>
      </w:r>
    </w:p>
    <w:p w:rsidR="00CC7633" w:rsidRPr="00CC7633" w:rsidRDefault="00CC7633" w:rsidP="00CC7633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Искусственные неровности устраиваются в начале опасного участка перед детскими и юношескими учреждениями, детскими площадками, местами массового отдыха, стадионами.</w:t>
      </w:r>
    </w:p>
    <w:p w:rsidR="00CC7633" w:rsidRPr="00CC7633" w:rsidRDefault="00CC7633" w:rsidP="00CC763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Отсутствует (неисправно) стационарное наружное освещение</w:t>
      </w:r>
    </w:p>
    <w:p w:rsidR="00CC7633" w:rsidRPr="00CC7633" w:rsidRDefault="00CC7633" w:rsidP="00CC7633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Участки дорог и улиц в границах населенных пунктов должны быть обустроены стационарным наружным освещением.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CC7633" w:rsidRPr="00CC7633" w:rsidRDefault="00CC7633" w:rsidP="00CC7633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C7633" w:rsidRPr="00CC7633" w:rsidRDefault="00CC7633" w:rsidP="00CC7633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Отсутствие тротуаров (пешеходных дорожек)</w:t>
      </w:r>
    </w:p>
    <w:p w:rsidR="00CC7633" w:rsidRPr="00CC7633" w:rsidRDefault="00CC7633" w:rsidP="00CC7633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Участки дорог и улиц в границах населенных пунктов должны быть обустроены тротуарами (пешеходными дорожками).</w:t>
      </w:r>
    </w:p>
    <w:p w:rsidR="00CC7633" w:rsidRPr="00CC7633" w:rsidRDefault="00CC7633" w:rsidP="00CC7633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C7633" w:rsidRPr="00CC7633" w:rsidRDefault="00CC7633" w:rsidP="00CC7633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Отсутствует видимость на пешеходных переходах</w:t>
      </w:r>
    </w:p>
    <w:p w:rsidR="00CC7633" w:rsidRPr="00CC7633" w:rsidRDefault="00CC7633" w:rsidP="00CC7633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пересечении транспортных и пешеходных потоков должен быть обеспечен «треугольник видимости» с удаления не менее  </w:t>
      </w: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50 </w:t>
      </w:r>
      <w:proofErr w:type="spellStart"/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мдля</w:t>
      </w:r>
      <w:proofErr w:type="spellEnd"/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транспорта и 10 м для пешеходов. В указанном треугольнике видимости не допускается размещение передвижных предметов и кустарников высотой более 0.5 м</w:t>
      </w: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</w:p>
    <w:p w:rsidR="00CC7633" w:rsidRPr="00CC7633" w:rsidRDefault="00CC7633" w:rsidP="00CC76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Имеются недостатки содержания дорог и улиц в зимний период</w:t>
      </w:r>
    </w:p>
    <w:p w:rsidR="00CC7633" w:rsidRPr="00CC7633" w:rsidRDefault="00CC7633" w:rsidP="00CC76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Наличие зимней скользкости (наледь, снежный накат) на проезжей части.</w:t>
      </w:r>
    </w:p>
    <w:p w:rsidR="00CC7633" w:rsidRPr="00CC7633" w:rsidRDefault="00CC7633" w:rsidP="00CC76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Имеются снежные валы:</w:t>
      </w:r>
    </w:p>
    <w:p w:rsidR="00CC7633" w:rsidRPr="00CC7633" w:rsidRDefault="00CC7633" w:rsidP="00CC76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ближе </w:t>
      </w: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5 м</w:t>
      </w: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от пешеходного перехода;</w:t>
      </w:r>
    </w:p>
    <w:p w:rsidR="00CC7633" w:rsidRPr="00CC7633" w:rsidRDefault="00CC7633" w:rsidP="00CC76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ближе </w:t>
      </w: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20 м</w:t>
      </w: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от остановочного пункта общественного транс</w:t>
      </w: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softHyphen/>
        <w:t>порта;</w:t>
      </w:r>
    </w:p>
    <w:p w:rsidR="00CC7633" w:rsidRPr="00CC7633" w:rsidRDefault="00CC7633" w:rsidP="00CC76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на тротуарах.</w:t>
      </w:r>
    </w:p>
    <w:p w:rsidR="00CC7633" w:rsidRPr="00CC7633" w:rsidRDefault="00CC7633" w:rsidP="00CC763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При выявлении указанных недостатков в содержании автодорог (улиц) информацию необходимо передавать собственникам улично-дорожной сети, а также в </w:t>
      </w:r>
      <w:proofErr w:type="spellStart"/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территоиальные</w:t>
      </w:r>
      <w:proofErr w:type="spellEnd"/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подразделения Госавтоинспекции УМВД России по Ярославской области (сведения на сайте: </w:t>
      </w:r>
      <w:proofErr w:type="spellStart"/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gibdd</w:t>
      </w:r>
      <w:proofErr w:type="spellEnd"/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ru</w:t>
      </w:r>
      <w:proofErr w:type="spellEnd"/>
      <w:r w:rsidRPr="00CC763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).</w:t>
      </w:r>
    </w:p>
    <w:tbl>
      <w:tblPr>
        <w:tblW w:w="14429" w:type="dxa"/>
        <w:tblInd w:w="75" w:type="dxa"/>
        <w:tblBorders>
          <w:top w:val="single" w:sz="8" w:space="0" w:color="E0E0E0"/>
          <w:left w:val="single" w:sz="8" w:space="0" w:color="E0E0E0"/>
          <w:bottom w:val="single" w:sz="8" w:space="0" w:color="E0E0E0"/>
          <w:right w:val="single" w:sz="8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2857"/>
        <w:gridCol w:w="2744"/>
        <w:gridCol w:w="8828"/>
      </w:tblGrid>
      <w:tr w:rsidR="00CC7633" w:rsidRPr="00CC7633" w:rsidTr="00CC7633">
        <w:trPr>
          <w:trHeight w:val="418"/>
        </w:trPr>
        <w:tc>
          <w:tcPr>
            <w:tcW w:w="5000" w:type="pct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u w:val="single"/>
                <w:lang w:eastAsia="ru-RU"/>
              </w:rPr>
              <w:t>Сведения о собственниках муниципальной улично-дорожной сети Ярославской области</w:t>
            </w:r>
          </w:p>
        </w:tc>
      </w:tr>
      <w:tr w:rsidR="00CC7633" w:rsidRPr="00CC7633" w:rsidTr="00CC7633">
        <w:trPr>
          <w:trHeight w:val="567"/>
        </w:trPr>
        <w:tc>
          <w:tcPr>
            <w:tcW w:w="990" w:type="pct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Территория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059" w:type="pct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Контакты</w:t>
            </w:r>
          </w:p>
        </w:tc>
      </w:tr>
      <w:tr w:rsidR="00CC7633" w:rsidRPr="00CC7633" w:rsidTr="00CC7633">
        <w:trPr>
          <w:trHeight w:val="74"/>
        </w:trPr>
        <w:tc>
          <w:tcPr>
            <w:tcW w:w="990" w:type="pct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tgtFrame="_blank" w:history="1">
              <w:r w:rsidRPr="00CC7633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lang w:eastAsia="ru-RU"/>
                </w:rPr>
                <w:t>г. Ярославль</w:t>
              </w:r>
            </w:hyperlink>
          </w:p>
          <w:p w:rsidR="00CC7633" w:rsidRPr="00CC7633" w:rsidRDefault="00CC7633" w:rsidP="00CC7633">
            <w:pPr>
              <w:spacing w:after="0" w:line="74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Мэрия города Ярославля</w:t>
            </w:r>
          </w:p>
        </w:tc>
        <w:tc>
          <w:tcPr>
            <w:tcW w:w="3059" w:type="pct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633" w:rsidRPr="00CC7633" w:rsidRDefault="00CC7633" w:rsidP="00CC7633">
            <w:pPr>
              <w:spacing w:after="0" w:line="74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150000, г. Ярославль, ул. Андропова, д. 6; тел.: (4852) 40-47-53; </w:t>
            </w:r>
            <w:proofErr w:type="spellStart"/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e-mail</w:t>
            </w:r>
            <w:proofErr w:type="spellEnd"/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 </w:t>
            </w:r>
            <w:hyperlink r:id="rId14" w:tgtFrame="_blank" w:history="1">
              <w:r w:rsidRPr="00CC7633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cityweb@mail.city-yar.ru</w:t>
              </w:r>
            </w:hyperlink>
            <w:r w:rsidRPr="00CC7633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диспетчер МКУ «Агентство по муниципальному заказу ЖКХ» г. Ярославля, т.40-46-90</w:t>
            </w:r>
          </w:p>
        </w:tc>
      </w:tr>
    </w:tbl>
    <w:p w:rsidR="00E96D54" w:rsidRDefault="00E96D54"/>
    <w:sectPr w:rsidR="00E96D54" w:rsidSect="00CC7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633"/>
    <w:rsid w:val="00675A2C"/>
    <w:rsid w:val="00CC7633"/>
    <w:rsid w:val="00E9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C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633"/>
    <w:rPr>
      <w:b/>
      <w:bCs/>
    </w:rPr>
  </w:style>
  <w:style w:type="character" w:styleId="a5">
    <w:name w:val="Hyperlink"/>
    <w:basedOn w:val="a0"/>
    <w:uiPriority w:val="99"/>
    <w:semiHidden/>
    <w:unhideWhenUsed/>
    <w:rsid w:val="00CC76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city-yaroslavl.ru/chpages/Default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cityweb@mail.city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2017-09-13T09:56:00Z</dcterms:created>
  <dcterms:modified xsi:type="dcterms:W3CDTF">2017-09-13T09:57:00Z</dcterms:modified>
</cp:coreProperties>
</file>